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E8" w:rsidRPr="00D53AD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D53AD6">
        <w:rPr>
          <w:rFonts w:ascii="Times New Roman" w:hAnsi="Times New Roman" w:cs="Times New Roman"/>
        </w:rPr>
        <w:t>2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к приказу</w:t>
      </w:r>
    </w:p>
    <w:p w:rsidR="000E1EE8" w:rsidRDefault="000E1EE8" w:rsidP="00AB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proofErr w:type="gramStart"/>
      <w:r w:rsidRPr="00B527E6">
        <w:rPr>
          <w:rFonts w:ascii="Times New Roman" w:hAnsi="Times New Roman" w:cs="Times New Roman"/>
        </w:rPr>
        <w:t>от</w:t>
      </w:r>
      <w:proofErr w:type="gramEnd"/>
      <w:r w:rsidRPr="00B527E6">
        <w:rPr>
          <w:rFonts w:ascii="Times New Roman" w:hAnsi="Times New Roman" w:cs="Times New Roman"/>
        </w:rPr>
        <w:t xml:space="preserve"> </w:t>
      </w:r>
      <w:r w:rsidR="005817CA">
        <w:rPr>
          <w:rFonts w:ascii="Times New Roman" w:hAnsi="Times New Roman" w:cs="Times New Roman"/>
        </w:rPr>
        <w:t>30</w:t>
      </w:r>
      <w:r w:rsidR="0075183A">
        <w:rPr>
          <w:rFonts w:ascii="Times New Roman" w:hAnsi="Times New Roman" w:cs="Times New Roman"/>
        </w:rPr>
        <w:t>.12.202</w:t>
      </w:r>
      <w:r w:rsidR="00813824">
        <w:rPr>
          <w:rFonts w:ascii="Times New Roman" w:hAnsi="Times New Roman" w:cs="Times New Roman"/>
        </w:rPr>
        <w:t>5</w:t>
      </w:r>
      <w:r w:rsidRPr="00B527E6">
        <w:rPr>
          <w:rFonts w:ascii="Times New Roman" w:hAnsi="Times New Roman" w:cs="Times New Roman"/>
        </w:rPr>
        <w:t xml:space="preserve"> г. №</w:t>
      </w:r>
      <w:r w:rsidR="00AB514C">
        <w:rPr>
          <w:rFonts w:ascii="Times New Roman" w:hAnsi="Times New Roman" w:cs="Times New Roman"/>
        </w:rPr>
        <w:t xml:space="preserve"> 149-0</w:t>
      </w:r>
    </w:p>
    <w:p w:rsidR="00AB514C" w:rsidRPr="00B527E6" w:rsidRDefault="00AB514C" w:rsidP="00AB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E6">
        <w:rPr>
          <w:rFonts w:ascii="Times New Roman" w:hAnsi="Times New Roman" w:cs="Times New Roman"/>
          <w:b/>
          <w:sz w:val="28"/>
          <w:szCs w:val="28"/>
        </w:rPr>
        <w:t>Учетная политика для целей налогообложения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Порядок ведения налогового учета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1. Ведение налогового учета возлагается на </w:t>
      </w:r>
      <w:r>
        <w:rPr>
          <w:rFonts w:ascii="Times New Roman" w:hAnsi="Times New Roman" w:cs="Times New Roman"/>
        </w:rPr>
        <w:t xml:space="preserve">централизованную </w:t>
      </w:r>
      <w:r w:rsidRPr="00B527E6">
        <w:rPr>
          <w:rFonts w:ascii="Times New Roman" w:hAnsi="Times New Roman" w:cs="Times New Roman"/>
        </w:rPr>
        <w:t xml:space="preserve">бухгалтерию, возглавляемую </w:t>
      </w:r>
      <w:r>
        <w:rPr>
          <w:rFonts w:ascii="Times New Roman" w:hAnsi="Times New Roman" w:cs="Times New Roman"/>
        </w:rPr>
        <w:t>директором</w:t>
      </w:r>
      <w:r w:rsidRPr="00B527E6">
        <w:rPr>
          <w:rFonts w:ascii="Times New Roman" w:hAnsi="Times New Roman" w:cs="Times New Roman"/>
        </w:rPr>
        <w:t xml:space="preserve">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2. Налоговый учет ведется автоматизированным способом с применением программы «</w:t>
      </w:r>
      <w:r>
        <w:rPr>
          <w:rFonts w:ascii="Times New Roman" w:hAnsi="Times New Roman" w:cs="Times New Roman"/>
        </w:rPr>
        <w:t xml:space="preserve">1С: </w:t>
      </w:r>
      <w:r w:rsidRPr="00B527E6">
        <w:rPr>
          <w:rFonts w:ascii="Times New Roman" w:hAnsi="Times New Roman" w:cs="Times New Roman"/>
        </w:rPr>
        <w:t>Бухгалтерия».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3. Учреждение применяет общую систему налогообложения.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прибыль организаций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4. Для ведения налогового учета используются: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– регистры бухгалтерского учета с разделением по счетам бухгалтерского учета с помощью дополнительных аналитических признаков в зависимости от степени признания в налоговом учете;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– налоговые регистры.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313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5. Учет доходов и расходов ведется методом начисления.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статьи 271, 272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6. Учет доходов и расходов, полученных (произведенных) в рамках целевого финансирования и целевых поступлений, ведется раздельно от других доходов и расходов.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Раздельный учет ведется с использованием кода счета бухгалтерского учета «Вид финансового обеспечения (деятельности)» (КФО).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Доходы и расходы в рамках целевого финансирования и целевых поступлений учитываются по КФО: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4 – деятельность, осуществляемая за счет субсидий на выполнение государственного задания;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5 – деятельность, осуществляемая за счет субсидий на иные цели;</w:t>
      </w:r>
    </w:p>
    <w:p w:rsidR="00F22D58" w:rsidRDefault="00F22D5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F22D5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1EE8" w:rsidRPr="00B527E6">
        <w:rPr>
          <w:rFonts w:ascii="Times New Roman" w:hAnsi="Times New Roman" w:cs="Times New Roman"/>
        </w:rPr>
        <w:t>Средства целевого финансирования (целевые поступления), использованные не по целевому назначению, включаются в состав внереализационных доходов на одну из следующих дат: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на дату, когда средства были использованы не по целевому назначению;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на дату, когда были нарушены условия предоставления средств целевого финансирования (целевых поступлений).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14 статьи 250, подпункт 9 пункта 4 статьи 271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813824" w:rsidRDefault="00813824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 xml:space="preserve">Учет амортизируемого имущества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7. Амортизация в целях налогового учета начисляется по имуществу, приобретенному за счет средств от приносящей доход деятельности, и используемому для ведения такой деятельности.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8. Срок полезного использования основных средств определяется по максимальному значению интервала сроков, установленных для амортизационной группы, в которую включено основное средство в соответствии с классификацией, утверждаемой Правительством РФ. Если основное средство не указано в классификации, срок полезного использования определяется по технической документации или рекомендациям производителей.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В случае реконструкции, модернизации или технического перевооружения срок полезного использования основного средства не увеличивается.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постановление Правительства РФ от 1 января 2002 г. № 1 «О Классификации основных средств, включаемых в амортизационные группы», пункты 1 и 6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9. Срок полезного использования основных средств, бывших в эксплуатации, определяется равным сроку, установленному предыдущим собственником, уменьшенному на количество лет (месяцев) эксплуатации данных основных средств предыдущим собственником. Норма амортизации по бывшим в эксплуатации основным средствам определяется с учетом срока полезного использования, уменьшенного на количество лет (месяцев) эксплуатации предыдущими собственниками.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7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10. Срок полезного использования объекта нематериальных активов определяется исходя из срока действия патента, свидетельства, а также исходя из срока полезного использования, обусловленного соответствующим договором. По нематериальным активам, по которым определить срок полезного использования невозможно, применяется срок, равный 10 годам.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2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11. Амортизация по всем объектам амортизируемого имущества (основным средствам и нематериальным активам) начисляется линейным методом.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пункты 1 и 3 статьи 259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12. Амортизационная премия не применяется. Амортизация начисляется в общем порядке.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9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13. Норма амортизации по всем объектам амортизируемого имущества определяется без применения понижающих и повышающих коэффициентов.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259.3 Налогового кодекса РФ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14. Налоговый учет начисленной амортизации ведется в налоговом регистре, форма которого установлена в приложении 3 к настоящей инструкции.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313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15. Резерв на ремонт основных средств не создается. Расходы на ремонт основных средств признаются для целей налогообложения в составе прочих расходов в том отчетном периоде, в котором они были осуществлены, в сумме фактических затрат.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>Основание: статья 260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16. Инвестиционный налоговый вычет не применяется.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286.1 НК.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Учет материалов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17. В стоимость материалов, используемых в деятельности учреждения, включается цена их приобретения, комиссионные вознаграждения, уплачиваемые посредническим организациям, ввозные таможенные пошлины и сборы, расходы на транспортировку, суммы, уплачиваемые организациям за информационные и консультационные услуги, связанные с приобретением материалов.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4 статьи 252, пункт 2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18. Стоимость материалов и другого имущества, не являющегося амортизируемым, включается в состав материальных расходов в полной сумме по мере ввода его в эксплуатацию.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подпункт 3 пункта 1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19. При выбытии материалы оцениваются по методу средней стоимости.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8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20. Налоговый учет операций по приобретению и списанию материалов осуществляется на соответствующих счетах к счету ХХХХ 0000000000000 Х.105.00.000 «Материальные запасы» в порядке, определенном для целей бухгалтерского учета.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статья 313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Учет затрат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21. К прямым расходам на оказание услуг относятся: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расходы на приобретение материалов, используемых в процессе оказания платных услуг, кроме общехозяйственных и общепроизводственных материальных затрат;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расходы на оплату труда персонала, непосредственно участвующих в оказании услуг;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суммы страховых взносов, начисленные на заработную плату персонала, участвующего в процессе оказания услуг;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 xml:space="preserve">суммы начисленной амортизации по основным средствам, приобретенным за счет приносящей доход деятельности и используемым в указанной деятельности.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пункт 1 статьи 318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22. Прямые расходы, осуществленные в отчетном (налоговом) периоде, в полном объеме относятся на уменьшение доходов от реализации данного отчетного (налогового) периода.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2 статьи 318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23. Доходы и расходы от сдачи имущества в аренду признаются внереализационными доходами и расходами.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4 статьи 250, подпункт 1 пункта 1 статьи 265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28. Расходы на мобильную связь учитываются в составе расходов в соответствии с установленными в учреждении лимитами.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29. Доходы и расходы, относящиеся к нескольким отчетным периодам, распределяются равномерно в течение срока действия договора, к которому они относятся. В случае если дату окончания работ (оказания услуг) по договору определить невозможно, период распределения доходов и расходов устанавливается приказом руководителя учреждения.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пункт 1 статьи 272, пункт 2 статьи 271, статья 316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30. В целях равномерного учета затрат учреждение создает резерв на оплату отпусков сотрудников. Предельный размер резерва и ежемесячный процент отчислений в резерв </w:t>
      </w:r>
      <w:r>
        <w:rPr>
          <w:rFonts w:ascii="Times New Roman" w:hAnsi="Times New Roman" w:cs="Times New Roman"/>
        </w:rPr>
        <w:t>составляет 16% от дохода.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Резервы предстоящих расходов на выплату ежегодных вознаграждений за выслугу лет по итогам работы за год не создаются.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Резерв по сомнительным долгам не создается.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статьи 266, 267.3, 324.1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Порядок определения доходов и расходов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31. Доходы, полученные в рамках целевого финансирования, определяются по данным бухгалтерского учета на основании оборотов по счетам ХХХХ 0000000000000 Х.205.30.000, ХХХХ 0000000000000 Х.205.</w:t>
      </w:r>
      <w:r w:rsidR="00073EEF" w:rsidRPr="00073EEF">
        <w:rPr>
          <w:rFonts w:ascii="Times New Roman" w:hAnsi="Times New Roman" w:cs="Times New Roman"/>
        </w:rPr>
        <w:t>50</w:t>
      </w:r>
      <w:r w:rsidRPr="00B527E6">
        <w:rPr>
          <w:rFonts w:ascii="Times New Roman" w:hAnsi="Times New Roman" w:cs="Times New Roman"/>
        </w:rPr>
        <w:t>.000 и следующих документов: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соглашений о порядке и условиях предоставления субсидий на финансовое обеспечение выполнения государственного задания;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графиков перечисления субсидий;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договоров (соглашений) о предоставлении целевых субсидий, субсидий на капвложения, грантов в форме субсидий;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договоров о пожертвовании;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других документов, подтверждающих целевой характер получаемых средств или имущества.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32. Доходами для целей налогообложения от деятельности, приносящей доход, признаются доходы, получаемые от юридических и физических лиц по операциям реализации товаров, работ, услуг, имущественных прав, и внереализационные доходы в соответствии со статьями 249, 250 Налогового кодекса РФ. При этом: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доходы, полученные в рамках деятельности, приносящей доход, а также внереализационные доходы определяются на основании оборотов по счетам ХХХХ 0000000000000 2.205.00.000 «Расчеты по доходам» и ХХХХ 0000000000000 2.209.00.000 «Расчеты по ущербу и иным доходам»;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доходы от сдачи имущества в аренду определяются на основании оборотов по счету ХХХХ 0000000000000 2.205.20.000 «Расчеты с плательщиками по доходам от собственности».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33. Для признания доходов для целей налогообложения применяются следующие правила.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Доходами от образовательной деятельности признаются средства, </w:t>
      </w:r>
      <w:r>
        <w:rPr>
          <w:rFonts w:ascii="Times New Roman" w:hAnsi="Times New Roman" w:cs="Times New Roman"/>
        </w:rPr>
        <w:t>начисляемые</w:t>
      </w:r>
      <w:r w:rsidRPr="00B52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ежемесячно за оказанные услуги</w:t>
      </w:r>
      <w:r w:rsidRPr="00B527E6">
        <w:rPr>
          <w:rFonts w:ascii="Times New Roman" w:hAnsi="Times New Roman" w:cs="Times New Roman"/>
        </w:rPr>
        <w:t>. Договор на оказание образовательных услуг считается исполненным, а услуга выполнена на основании приказа об отчислении.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Стоимость разовых услуг отражается в доходах по мере их оказания.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34. Расходы, произведенные за счет средств целевого финансирования (субсидий), определяются по данным бухгалтерского учета на основании оборотов по счетам: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>•</w:t>
      </w:r>
      <w:r w:rsidRPr="00B527E6">
        <w:rPr>
          <w:rFonts w:ascii="Times New Roman" w:hAnsi="Times New Roman" w:cs="Times New Roman"/>
        </w:rPr>
        <w:tab/>
        <w:t>ХХХХ 0000000000000 4.109.00.000 «Затраты на изготовление готовой продукции, выполнение работ, услуг»;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ХХХХ 0000000000000 4.401.20.200 «Расходы учреждения» – за счет субсидий на выполнение государственного задания;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ХХХХ 0000000000000 5.401.20.200 «Расходы учреждения» – за счет субсидий на иные цели, гранты в форме субсидий;</w:t>
      </w:r>
    </w:p>
    <w:p w:rsidR="000E1EE8" w:rsidRPr="00B527E6" w:rsidRDefault="00073EEF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="000E1EE8">
        <w:rPr>
          <w:rFonts w:ascii="Times New Roman" w:hAnsi="Times New Roman" w:cs="Times New Roman"/>
        </w:rPr>
        <w:tab/>
      </w:r>
      <w:r w:rsidR="000E1EE8" w:rsidRPr="00B527E6">
        <w:rPr>
          <w:rFonts w:ascii="Times New Roman" w:hAnsi="Times New Roman" w:cs="Times New Roman"/>
        </w:rPr>
        <w:t>ХХХХ 0000000000000 2.401.20.200 в расходах за счет средств целевого финансирования учитываются затраты за счет целевых поступлений (пожертвований</w:t>
      </w:r>
      <w:r w:rsidR="000E1EE8">
        <w:rPr>
          <w:rFonts w:ascii="Times New Roman" w:hAnsi="Times New Roman" w:cs="Times New Roman"/>
        </w:rPr>
        <w:t>)</w:t>
      </w:r>
      <w:r w:rsidR="000E1EE8" w:rsidRPr="00B527E6">
        <w:rPr>
          <w:rFonts w:ascii="Times New Roman" w:hAnsi="Times New Roman" w:cs="Times New Roman"/>
        </w:rPr>
        <w:t>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35. Расходы, произведенные за счет средств от деятельности, приносящей доход, определяются по данным бухгалтерского учета на основании соответствующих оборотов по счету ХХХХ 0000000000000 2.109.00.000 «Затраты на изготовление готовой продукции, выполнение работ, услуг» с использованием аналитических кодов в 23-м разряде номера счета: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1 – «Расходы, уменьшающие налоговую базу»;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2 – «Расходы, не уменьшающие налоговую базу».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добавленную стоимость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Default="000E1EE8" w:rsidP="000E1E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Учреждение имеет право на освобождение от исполнения обязанностей налогоплательщика, связанных с исчислением и уплатой налога, т.к. за три предшествующих последовательных календарных месяца сумма выручки от реализации товаров (работ, услуг) не превышает в совокупности два миллиона рублей.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Транспортный налог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B527E6">
        <w:rPr>
          <w:rFonts w:ascii="Times New Roman" w:hAnsi="Times New Roman" w:cs="Times New Roman"/>
        </w:rPr>
        <w:t>. Налогооблагаемая база формируется исходя из наличия всех транспортных средств, зарегистрированных за учреждением.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глава 28 Налогового кодекса РФ, региональный Закон «О транспортном налоге».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B527E6">
        <w:rPr>
          <w:rFonts w:ascii="Times New Roman" w:hAnsi="Times New Roman" w:cs="Times New Roman"/>
        </w:rPr>
        <w:t>. Для целей настоящего пункта в налогооблагаемую базу включаются базу транспортные средства, находящиеся на ремонте и подлежащие списанию, до момента снятия транспортного средства с учета или исключения из государственного реестра в соответствии с законодательством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имущество организаций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B527E6">
        <w:rPr>
          <w:rFonts w:ascii="Times New Roman" w:hAnsi="Times New Roman" w:cs="Times New Roman"/>
        </w:rPr>
        <w:t xml:space="preserve">. Налогооблагаемая база формируется исходя </w:t>
      </w:r>
      <w:r>
        <w:rPr>
          <w:rFonts w:ascii="Times New Roman" w:hAnsi="Times New Roman" w:cs="Times New Roman"/>
        </w:rPr>
        <w:t>из остаточной стоимости недвижимого имущества.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Земельный налог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A02F75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B527E6">
        <w:rPr>
          <w:rFonts w:ascii="Times New Roman" w:hAnsi="Times New Roman" w:cs="Times New Roman"/>
        </w:rPr>
        <w:t>. Налогооблагаемая база формируется исходя</w:t>
      </w:r>
      <w:r>
        <w:rPr>
          <w:rFonts w:ascii="Times New Roman" w:hAnsi="Times New Roman" w:cs="Times New Roman"/>
        </w:rPr>
        <w:t xml:space="preserve"> из кадастровой стоимости земельного участка.</w:t>
      </w:r>
    </w:p>
    <w:p w:rsidR="003378FB" w:rsidRDefault="003378FB"/>
    <w:sectPr w:rsidR="003378FB" w:rsidSect="00251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7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7E" w:rsidRDefault="00DE287E">
      <w:r>
        <w:separator/>
      </w:r>
    </w:p>
  </w:endnote>
  <w:endnote w:type="continuationSeparator" w:id="0">
    <w:p w:rsidR="00DE287E" w:rsidRDefault="00DE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7E" w:rsidRDefault="00DE287E">
      <w:r>
        <w:separator/>
      </w:r>
    </w:p>
  </w:footnote>
  <w:footnote w:type="continuationSeparator" w:id="0">
    <w:p w:rsidR="00DE287E" w:rsidRDefault="00DE2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DE28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66"/>
    <w:rsid w:val="00073EEF"/>
    <w:rsid w:val="000E1EE8"/>
    <w:rsid w:val="003378FB"/>
    <w:rsid w:val="00365336"/>
    <w:rsid w:val="00413216"/>
    <w:rsid w:val="004710C4"/>
    <w:rsid w:val="005817CA"/>
    <w:rsid w:val="00593211"/>
    <w:rsid w:val="00625A5F"/>
    <w:rsid w:val="0075183A"/>
    <w:rsid w:val="0077275D"/>
    <w:rsid w:val="00813824"/>
    <w:rsid w:val="00AB514C"/>
    <w:rsid w:val="00D53AD6"/>
    <w:rsid w:val="00D83B66"/>
    <w:rsid w:val="00DE287E"/>
    <w:rsid w:val="00DF6EFC"/>
    <w:rsid w:val="00F22D58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2867-2203-404D-AB84-AF52586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E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1EE8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1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EE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3A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"ЦБА Колпинского района"</Company>
  <LinksUpToDate>false</LinksUpToDate>
  <CharactersWithSpaces>11619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11</cp:revision>
  <cp:lastPrinted>2025-01-13T12:11:00Z</cp:lastPrinted>
  <dcterms:created xsi:type="dcterms:W3CDTF">2023-12-28T09:59:00Z</dcterms:created>
  <dcterms:modified xsi:type="dcterms:W3CDTF">2026-01-21T07:59:00Z</dcterms:modified>
</cp:coreProperties>
</file>